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43" w:rsidRDefault="00D65043" w:rsidP="00F33CF6">
      <w:pPr>
        <w:spacing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p w:rsidR="00F34FAA" w:rsidRDefault="00F34FAA" w:rsidP="00F34FAA">
      <w:pPr>
        <w:jc w:val="center"/>
        <w:rPr>
          <w:b/>
          <w:sz w:val="24"/>
          <w:szCs w:val="24"/>
        </w:rPr>
      </w:pPr>
      <w:r w:rsidRPr="00555C85">
        <w:rPr>
          <w:b/>
          <w:sz w:val="24"/>
          <w:szCs w:val="24"/>
        </w:rPr>
        <w:t xml:space="preserve">Documento per l’avvio del tavolo sul rilancio del settore delle costruzioni, </w:t>
      </w:r>
    </w:p>
    <w:p w:rsidR="00F34FAA" w:rsidRDefault="00F34FAA" w:rsidP="00F34FAA">
      <w:pPr>
        <w:jc w:val="center"/>
        <w:rPr>
          <w:b/>
          <w:sz w:val="24"/>
          <w:szCs w:val="24"/>
        </w:rPr>
      </w:pPr>
      <w:r w:rsidRPr="00555C85">
        <w:rPr>
          <w:b/>
          <w:sz w:val="24"/>
          <w:szCs w:val="24"/>
        </w:rPr>
        <w:t>presso il Min</w:t>
      </w:r>
      <w:r>
        <w:rPr>
          <w:b/>
          <w:sz w:val="24"/>
          <w:szCs w:val="24"/>
        </w:rPr>
        <w:t>istero dello Sviluppo Economico</w:t>
      </w:r>
    </w:p>
    <w:p w:rsidR="00F34FAA" w:rsidRDefault="00F34FAA" w:rsidP="00F34FAA">
      <w:pPr>
        <w:jc w:val="center"/>
        <w:rPr>
          <w:b/>
          <w:sz w:val="24"/>
          <w:szCs w:val="24"/>
        </w:rPr>
      </w:pPr>
    </w:p>
    <w:p w:rsidR="00F34FAA" w:rsidRPr="00555C85" w:rsidRDefault="00F34FAA" w:rsidP="00F34FAA">
      <w:pPr>
        <w:jc w:val="both"/>
        <w:rPr>
          <w:sz w:val="24"/>
          <w:szCs w:val="24"/>
        </w:rPr>
      </w:pPr>
      <w:r w:rsidRPr="00555C85">
        <w:rPr>
          <w:sz w:val="24"/>
          <w:szCs w:val="24"/>
        </w:rPr>
        <w:t>Il rilancio della filiera delle costruzioni (edil</w:t>
      </w:r>
      <w:r>
        <w:rPr>
          <w:sz w:val="24"/>
          <w:szCs w:val="24"/>
        </w:rPr>
        <w:t>izia</w:t>
      </w:r>
      <w:r w:rsidRPr="00555C85">
        <w:rPr>
          <w:sz w:val="24"/>
          <w:szCs w:val="24"/>
        </w:rPr>
        <w:t xml:space="preserve"> e settori dei materiali) è fondamentale per la ripresa economica del Paese. Dopo aver perso circa 800 mila occupati nell’intera filiera occorre agire una </w:t>
      </w:r>
      <w:r w:rsidRPr="00555C85">
        <w:rPr>
          <w:b/>
          <w:sz w:val="24"/>
          <w:szCs w:val="24"/>
        </w:rPr>
        <w:t>politica industriale nuova con una visione di sistema</w:t>
      </w:r>
      <w:r w:rsidRPr="00555C85">
        <w:rPr>
          <w:sz w:val="24"/>
          <w:szCs w:val="24"/>
        </w:rPr>
        <w:t>, che non disperda un patrimonio produttivo ed occupazionale ancora importante e accompagni la trasformazione del mercato, l’innovazione di processo e di prodotto, una sua maggiore sostenibilità ambientale, in coerenza con gli stessi obiettivi ONU e dell’UE per un nuovo modello di sviluppo.</w:t>
      </w:r>
      <w:r>
        <w:rPr>
          <w:sz w:val="24"/>
          <w:szCs w:val="24"/>
        </w:rPr>
        <w:t xml:space="preserve">  </w:t>
      </w:r>
      <w:r w:rsidRPr="00555C85">
        <w:rPr>
          <w:sz w:val="24"/>
          <w:szCs w:val="24"/>
        </w:rPr>
        <w:t>Per fare ciò occorre agire su alcune priorità.</w:t>
      </w:r>
    </w:p>
    <w:p w:rsidR="00F34FAA" w:rsidRPr="00555C85" w:rsidRDefault="00F34FAA" w:rsidP="00F34FAA">
      <w:p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Alcune chiamano in causa come “ministeri capofila” dicasteri diversi dal MISE: </w:t>
      </w:r>
      <w:r>
        <w:rPr>
          <w:sz w:val="24"/>
          <w:szCs w:val="24"/>
        </w:rPr>
        <w:t xml:space="preserve">in particolare il tema della </w:t>
      </w:r>
      <w:r w:rsidRPr="00F34FAA">
        <w:rPr>
          <w:b/>
          <w:bCs/>
          <w:sz w:val="24"/>
          <w:szCs w:val="24"/>
        </w:rPr>
        <w:t>rigenerazione urbana</w:t>
      </w:r>
      <w:r>
        <w:rPr>
          <w:sz w:val="24"/>
          <w:szCs w:val="24"/>
        </w:rPr>
        <w:t>, delle</w:t>
      </w:r>
      <w:r w:rsidRPr="00555C85">
        <w:rPr>
          <w:sz w:val="24"/>
          <w:szCs w:val="24"/>
        </w:rPr>
        <w:t xml:space="preserve"> nuove norme urbanistiche e tecniche (che dovrebbe</w:t>
      </w:r>
      <w:r>
        <w:rPr>
          <w:sz w:val="24"/>
          <w:szCs w:val="24"/>
        </w:rPr>
        <w:t>ro</w:t>
      </w:r>
      <w:r w:rsidRPr="00555C85">
        <w:rPr>
          <w:sz w:val="24"/>
          <w:szCs w:val="24"/>
        </w:rPr>
        <w:t xml:space="preserve"> vedere, in coerenza con il piano “Rinascita Urbana”</w:t>
      </w:r>
      <w:r>
        <w:rPr>
          <w:sz w:val="24"/>
          <w:szCs w:val="24"/>
        </w:rPr>
        <w:t>,</w:t>
      </w:r>
      <w:r w:rsidRPr="00555C85">
        <w:rPr>
          <w:sz w:val="24"/>
          <w:szCs w:val="24"/>
        </w:rPr>
        <w:t xml:space="preserve"> in prima fila il </w:t>
      </w:r>
      <w:proofErr w:type="spellStart"/>
      <w:r w:rsidRPr="00555C85">
        <w:rPr>
          <w:sz w:val="24"/>
          <w:szCs w:val="24"/>
        </w:rPr>
        <w:t>Mit</w:t>
      </w:r>
      <w:proofErr w:type="spellEnd"/>
      <w:r w:rsidRPr="00555C85">
        <w:rPr>
          <w:sz w:val="24"/>
          <w:szCs w:val="24"/>
        </w:rPr>
        <w:t xml:space="preserve"> e il Consiglio Nazionale dei Lavori Pubblici e, per la concorrenzialità </w:t>
      </w:r>
      <w:r>
        <w:rPr>
          <w:sz w:val="24"/>
          <w:szCs w:val="24"/>
        </w:rPr>
        <w:t xml:space="preserve">legislativa </w:t>
      </w:r>
      <w:r w:rsidRPr="00555C85">
        <w:rPr>
          <w:sz w:val="24"/>
          <w:szCs w:val="24"/>
        </w:rPr>
        <w:t>delle materie urbanistiche e d</w:t>
      </w:r>
      <w:r>
        <w:rPr>
          <w:sz w:val="24"/>
          <w:szCs w:val="24"/>
        </w:rPr>
        <w:t>e</w:t>
      </w:r>
      <w:r w:rsidRPr="00555C85">
        <w:rPr>
          <w:sz w:val="24"/>
          <w:szCs w:val="24"/>
        </w:rPr>
        <w:t>i piani territoriali, la Conferenza Stato-Regioni e l’ANCI)</w:t>
      </w:r>
      <w:r>
        <w:rPr>
          <w:sz w:val="24"/>
          <w:szCs w:val="24"/>
        </w:rPr>
        <w:t xml:space="preserve">, </w:t>
      </w:r>
      <w:r w:rsidRPr="00555C85">
        <w:rPr>
          <w:sz w:val="24"/>
          <w:szCs w:val="24"/>
        </w:rPr>
        <w:t>la corretta implementazione del Codice degli Appalti, a partire dall’emanando Regolamento Attuativo dello stesso codice</w:t>
      </w:r>
      <w:r>
        <w:rPr>
          <w:sz w:val="24"/>
          <w:szCs w:val="24"/>
        </w:rPr>
        <w:t>, o ancora all’accelerazione di specifici cantieri (su cui sono aperti già specifici tavoli presso il MIT, con Anas, RFI, grandi città)</w:t>
      </w:r>
      <w:r w:rsidRPr="00555C85">
        <w:rPr>
          <w:sz w:val="24"/>
          <w:szCs w:val="24"/>
        </w:rPr>
        <w:t>.</w:t>
      </w:r>
    </w:p>
    <w:p w:rsidR="00642C71" w:rsidRPr="00BB0807" w:rsidRDefault="00F34FAA" w:rsidP="00642C71">
      <w:pPr>
        <w:jc w:val="both"/>
        <w:rPr>
          <w:sz w:val="24"/>
          <w:szCs w:val="24"/>
        </w:rPr>
      </w:pPr>
      <w:r>
        <w:rPr>
          <w:sz w:val="24"/>
          <w:szCs w:val="24"/>
        </w:rPr>
        <w:t>Altri interventi sono</w:t>
      </w:r>
      <w:r w:rsidRPr="00555C85">
        <w:rPr>
          <w:sz w:val="24"/>
          <w:szCs w:val="24"/>
        </w:rPr>
        <w:t xml:space="preserve"> di competenza del MISE che potrebbe, per alcuni dei punti seguenti, farsi promotore di specifici tavoli tecnici “tematici”</w:t>
      </w:r>
      <w:r>
        <w:rPr>
          <w:sz w:val="24"/>
          <w:szCs w:val="24"/>
        </w:rPr>
        <w:t>,</w:t>
      </w:r>
      <w:r w:rsidRPr="00555C85">
        <w:rPr>
          <w:sz w:val="24"/>
          <w:szCs w:val="24"/>
        </w:rPr>
        <w:t xml:space="preserve"> coinvolgendo altri Ministeri ed Istituzioni</w:t>
      </w:r>
      <w:r w:rsidR="00642C71" w:rsidRPr="00642C71">
        <w:rPr>
          <w:color w:val="FF0000"/>
          <w:sz w:val="24"/>
          <w:szCs w:val="24"/>
        </w:rPr>
        <w:t xml:space="preserve"> </w:t>
      </w:r>
      <w:r w:rsidR="008F6D91">
        <w:rPr>
          <w:sz w:val="24"/>
          <w:szCs w:val="24"/>
        </w:rPr>
        <w:t xml:space="preserve">e </w:t>
      </w:r>
      <w:r w:rsidR="008F6D91" w:rsidRPr="008F6D91">
        <w:rPr>
          <w:b/>
          <w:bCs/>
          <w:sz w:val="24"/>
          <w:szCs w:val="24"/>
        </w:rPr>
        <w:t>rendendo permanente il</w:t>
      </w:r>
      <w:r w:rsidR="00642C71" w:rsidRPr="008F6D91">
        <w:rPr>
          <w:b/>
          <w:bCs/>
          <w:sz w:val="24"/>
          <w:szCs w:val="24"/>
        </w:rPr>
        <w:t xml:space="preserve"> tavolo </w:t>
      </w:r>
      <w:r w:rsidR="008F6D91" w:rsidRPr="008F6D91">
        <w:rPr>
          <w:b/>
          <w:bCs/>
          <w:sz w:val="24"/>
          <w:szCs w:val="24"/>
        </w:rPr>
        <w:t>per il rilancio del Settore</w:t>
      </w:r>
      <w:r w:rsidR="008F6D91">
        <w:rPr>
          <w:sz w:val="24"/>
          <w:szCs w:val="24"/>
        </w:rPr>
        <w:t xml:space="preserve">, </w:t>
      </w:r>
      <w:r w:rsidR="00642C71" w:rsidRPr="00642C71">
        <w:rPr>
          <w:sz w:val="24"/>
          <w:szCs w:val="24"/>
        </w:rPr>
        <w:t>con il coinvolgimento delle Parti Sociali più rappresentative</w:t>
      </w:r>
      <w:r w:rsidR="008F6D91">
        <w:rPr>
          <w:sz w:val="24"/>
          <w:szCs w:val="24"/>
        </w:rPr>
        <w:t xml:space="preserve"> e delle diverse istituzioni interessate</w:t>
      </w:r>
      <w:r w:rsidR="00642C71" w:rsidRPr="00264694">
        <w:rPr>
          <w:sz w:val="24"/>
          <w:szCs w:val="24"/>
        </w:rPr>
        <w:t>.</w:t>
      </w:r>
    </w:p>
    <w:p w:rsidR="00F34FAA" w:rsidRDefault="00F34FAA" w:rsidP="00F34FAA">
      <w:pPr>
        <w:jc w:val="center"/>
        <w:rPr>
          <w:b/>
          <w:sz w:val="24"/>
          <w:szCs w:val="24"/>
        </w:rPr>
      </w:pPr>
      <w:r w:rsidRPr="00555C85">
        <w:rPr>
          <w:b/>
          <w:sz w:val="24"/>
          <w:szCs w:val="24"/>
        </w:rPr>
        <w:t>Alcune proposte di lavoro</w:t>
      </w:r>
    </w:p>
    <w:p w:rsidR="00F34FAA" w:rsidRDefault="00F34FAA" w:rsidP="00B86CDB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F34FAA">
        <w:rPr>
          <w:sz w:val="24"/>
          <w:szCs w:val="24"/>
        </w:rPr>
        <w:t xml:space="preserve">Occorre affrontare </w:t>
      </w:r>
      <w:r w:rsidRPr="00F34FAA">
        <w:rPr>
          <w:b/>
          <w:sz w:val="24"/>
          <w:szCs w:val="24"/>
        </w:rPr>
        <w:t>la crisi di diverse grande aziende e relativi indotti</w:t>
      </w:r>
      <w:r w:rsidRPr="00F34FAA">
        <w:rPr>
          <w:sz w:val="24"/>
          <w:szCs w:val="24"/>
        </w:rPr>
        <w:t xml:space="preserve"> (da Astaldi a </w:t>
      </w:r>
      <w:proofErr w:type="spellStart"/>
      <w:r w:rsidRPr="00F34FAA">
        <w:rPr>
          <w:sz w:val="24"/>
          <w:szCs w:val="24"/>
        </w:rPr>
        <w:t>Cmc</w:t>
      </w:r>
      <w:proofErr w:type="spellEnd"/>
      <w:r w:rsidRPr="00F34FAA">
        <w:rPr>
          <w:sz w:val="24"/>
          <w:szCs w:val="24"/>
        </w:rPr>
        <w:t xml:space="preserve">, da GLF a </w:t>
      </w:r>
      <w:proofErr w:type="spellStart"/>
      <w:r w:rsidRPr="00F34FAA">
        <w:rPr>
          <w:sz w:val="24"/>
          <w:szCs w:val="24"/>
        </w:rPr>
        <w:t>Tecnis</w:t>
      </w:r>
      <w:proofErr w:type="spellEnd"/>
      <w:r w:rsidRPr="00F34FAA">
        <w:rPr>
          <w:sz w:val="24"/>
          <w:szCs w:val="24"/>
        </w:rPr>
        <w:t xml:space="preserve">, ecc.) che, interessando decine di opere grandi e medie, ha di fatto bloccato o rallentato il programma pluriennale “Connettere l’Italia” e la realizzazione di grandi opere necessarie al Paese. Al riguardo si chiede di </w:t>
      </w:r>
      <w:r w:rsidRPr="00F34FAA">
        <w:rPr>
          <w:b/>
          <w:sz w:val="24"/>
          <w:szCs w:val="24"/>
        </w:rPr>
        <w:t xml:space="preserve">generalizzare la politica di intervento </w:t>
      </w:r>
      <w:r w:rsidRPr="00F34FAA">
        <w:rPr>
          <w:bCs/>
          <w:sz w:val="24"/>
          <w:szCs w:val="24"/>
        </w:rPr>
        <w:t>delle banche</w:t>
      </w:r>
      <w:r w:rsidRPr="00F34FAA">
        <w:rPr>
          <w:sz w:val="24"/>
          <w:szCs w:val="24"/>
        </w:rPr>
        <w:t xml:space="preserve"> (conversione dei crediti in partecipazione) </w:t>
      </w:r>
      <w:r w:rsidRPr="00F34FAA">
        <w:rPr>
          <w:b/>
          <w:sz w:val="24"/>
          <w:szCs w:val="24"/>
        </w:rPr>
        <w:t>e soprattutto di Cassa Depositi e Prestiti</w:t>
      </w:r>
      <w:r w:rsidRPr="00F34FAA">
        <w:rPr>
          <w:sz w:val="24"/>
          <w:szCs w:val="24"/>
        </w:rPr>
        <w:t xml:space="preserve">, allargando il perimetro di </w:t>
      </w:r>
      <w:r w:rsidRPr="00F34FAA">
        <w:rPr>
          <w:b/>
          <w:sz w:val="24"/>
          <w:szCs w:val="24"/>
        </w:rPr>
        <w:t>Progetto Italia</w:t>
      </w:r>
      <w:r w:rsidRPr="00F34FAA">
        <w:rPr>
          <w:sz w:val="24"/>
          <w:szCs w:val="24"/>
        </w:rPr>
        <w:t xml:space="preserve"> che non deve essere solo un intervento a favore di Salini-Impregilo, ma </w:t>
      </w:r>
      <w:r w:rsidRPr="00F34FAA">
        <w:rPr>
          <w:b/>
          <w:sz w:val="24"/>
          <w:szCs w:val="24"/>
        </w:rPr>
        <w:t xml:space="preserve">un progetto di sistema, aperto </w:t>
      </w:r>
      <w:r w:rsidRPr="00F34FAA">
        <w:rPr>
          <w:sz w:val="24"/>
          <w:szCs w:val="24"/>
        </w:rPr>
        <w:t xml:space="preserve">- anche attraverso la creazione di uno specifico Fondo di Garanzia - alla partecipazione </w:t>
      </w:r>
      <w:r w:rsidRPr="00F34FAA">
        <w:rPr>
          <w:b/>
          <w:sz w:val="24"/>
          <w:szCs w:val="24"/>
        </w:rPr>
        <w:t>di altre imprese del settore</w:t>
      </w:r>
      <w:r w:rsidRPr="00F34FAA">
        <w:rPr>
          <w:sz w:val="24"/>
          <w:szCs w:val="24"/>
        </w:rPr>
        <w:t>, da cooperative che già operano da anni in grado di specializzarsi e crescere ad imprese (specialistiche e non) di medie dimensioni che intendano partecipare al salvataggio di imprese in difficoltà e relativi cantieri pubblici.</w:t>
      </w:r>
      <w:r>
        <w:rPr>
          <w:sz w:val="24"/>
          <w:szCs w:val="24"/>
        </w:rPr>
        <w:t xml:space="preserve"> </w:t>
      </w:r>
    </w:p>
    <w:p w:rsidR="00F34FAA" w:rsidRDefault="00F34FAA" w:rsidP="00F34FAA">
      <w:pPr>
        <w:pStyle w:val="Paragrafoelenco"/>
        <w:jc w:val="both"/>
        <w:rPr>
          <w:sz w:val="24"/>
          <w:szCs w:val="24"/>
        </w:rPr>
      </w:pPr>
      <w:r w:rsidRPr="00F34FAA">
        <w:rPr>
          <w:sz w:val="24"/>
          <w:szCs w:val="24"/>
        </w:rPr>
        <w:t xml:space="preserve">Si propone un </w:t>
      </w:r>
      <w:r w:rsidRPr="00F34FAA">
        <w:rPr>
          <w:b/>
          <w:sz w:val="24"/>
          <w:szCs w:val="24"/>
        </w:rPr>
        <w:t xml:space="preserve">tavolo tecnico </w:t>
      </w:r>
      <w:r w:rsidRPr="00F34FAA">
        <w:rPr>
          <w:sz w:val="24"/>
          <w:szCs w:val="24"/>
        </w:rPr>
        <w:t xml:space="preserve">con Mise, </w:t>
      </w:r>
      <w:proofErr w:type="spellStart"/>
      <w:r w:rsidRPr="00F34FAA">
        <w:rPr>
          <w:sz w:val="24"/>
          <w:szCs w:val="24"/>
        </w:rPr>
        <w:t>Mef</w:t>
      </w:r>
      <w:proofErr w:type="spellEnd"/>
      <w:r w:rsidRPr="00F34FAA">
        <w:rPr>
          <w:sz w:val="24"/>
          <w:szCs w:val="24"/>
        </w:rPr>
        <w:t>, CDP, MIT e Ministero del Lavoro (anche per i necessari interventi su politiche passive nel governo della riorganizzazione delle imprese e del settore, in coerenza con i diversi tavoli di crisi già aperti al Mise).</w:t>
      </w:r>
    </w:p>
    <w:p w:rsidR="00F34FAA" w:rsidRPr="00F34FAA" w:rsidRDefault="00F34FAA" w:rsidP="00F34FAA">
      <w:pPr>
        <w:pStyle w:val="Paragrafoelenco"/>
        <w:jc w:val="both"/>
        <w:rPr>
          <w:sz w:val="24"/>
          <w:szCs w:val="24"/>
        </w:rPr>
      </w:pPr>
    </w:p>
    <w:p w:rsidR="00F34FAA" w:rsidRPr="00555C85" w:rsidRDefault="00F34FAA" w:rsidP="00F34FAA">
      <w:pPr>
        <w:pStyle w:val="Paragrafoelenco"/>
        <w:jc w:val="both"/>
        <w:rPr>
          <w:sz w:val="24"/>
          <w:szCs w:val="24"/>
        </w:rPr>
      </w:pPr>
    </w:p>
    <w:p w:rsidR="00F34FAA" w:rsidRPr="00555C85" w:rsidRDefault="00F34FAA" w:rsidP="00F34FA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Occorre una </w:t>
      </w:r>
      <w:r w:rsidRPr="00860C0E">
        <w:rPr>
          <w:b/>
          <w:sz w:val="24"/>
          <w:szCs w:val="24"/>
        </w:rPr>
        <w:t>politica mirata per il sostegno alla transizione tecnologica e ambientale</w:t>
      </w:r>
      <w:r w:rsidRPr="00555C85">
        <w:rPr>
          <w:sz w:val="24"/>
          <w:szCs w:val="24"/>
        </w:rPr>
        <w:t xml:space="preserve"> del sistema delle costruzioni agendo su:</w:t>
      </w: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una </w:t>
      </w:r>
      <w:r w:rsidRPr="00860C0E">
        <w:rPr>
          <w:b/>
          <w:sz w:val="24"/>
          <w:szCs w:val="24"/>
        </w:rPr>
        <w:t>specifica declinazione degli incentivi per industria 4.0</w:t>
      </w:r>
      <w:r w:rsidRPr="00555C85">
        <w:rPr>
          <w:sz w:val="24"/>
          <w:szCs w:val="24"/>
        </w:rPr>
        <w:t xml:space="preserve">, in relazione alle nuove tecnologie di progettazione (BIM), </w:t>
      </w:r>
      <w:r>
        <w:rPr>
          <w:sz w:val="24"/>
          <w:szCs w:val="24"/>
        </w:rPr>
        <w:t xml:space="preserve">alle </w:t>
      </w:r>
      <w:r w:rsidRPr="00555C85">
        <w:rPr>
          <w:sz w:val="24"/>
          <w:szCs w:val="24"/>
        </w:rPr>
        <w:t xml:space="preserve">nuove tecniche costruttive e </w:t>
      </w:r>
      <w:r>
        <w:rPr>
          <w:sz w:val="24"/>
          <w:szCs w:val="24"/>
        </w:rPr>
        <w:t>a</w:t>
      </w:r>
      <w:r w:rsidRPr="00555C85">
        <w:rPr>
          <w:sz w:val="24"/>
          <w:szCs w:val="24"/>
        </w:rPr>
        <w:t xml:space="preserve">i nuovi materiali (nuove malte cementizie, uso del laterizio </w:t>
      </w:r>
      <w:r>
        <w:rPr>
          <w:sz w:val="24"/>
          <w:szCs w:val="24"/>
        </w:rPr>
        <w:t>con componenti di silicio</w:t>
      </w:r>
      <w:r w:rsidRPr="00555C85">
        <w:rPr>
          <w:sz w:val="24"/>
          <w:szCs w:val="24"/>
        </w:rPr>
        <w:t>, ecc.), accompagnando la trasformazione tecnologia di cementerie</w:t>
      </w:r>
      <w:r>
        <w:rPr>
          <w:sz w:val="24"/>
          <w:szCs w:val="24"/>
        </w:rPr>
        <w:t>, cave</w:t>
      </w:r>
      <w:r w:rsidRPr="00555C85">
        <w:rPr>
          <w:sz w:val="24"/>
          <w:szCs w:val="24"/>
        </w:rPr>
        <w:t xml:space="preserve"> e fornaci anche con specifici ammortizzatori sociali;</w:t>
      </w:r>
    </w:p>
    <w:p w:rsidR="008F6D91" w:rsidRPr="00555C85" w:rsidRDefault="008F6D91" w:rsidP="008F6D91">
      <w:pPr>
        <w:pStyle w:val="Paragrafoelenco"/>
        <w:ind w:left="1080"/>
        <w:jc w:val="both"/>
        <w:rPr>
          <w:sz w:val="24"/>
          <w:szCs w:val="24"/>
        </w:rPr>
      </w:pP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uno </w:t>
      </w:r>
      <w:r w:rsidRPr="00860C0E">
        <w:rPr>
          <w:b/>
          <w:sz w:val="24"/>
          <w:szCs w:val="24"/>
        </w:rPr>
        <w:t>specifico investimento sulle nuove professionalità necessarie alla riconversione green</w:t>
      </w:r>
      <w:r w:rsidRPr="00555C85">
        <w:rPr>
          <w:sz w:val="24"/>
          <w:szCs w:val="24"/>
        </w:rPr>
        <w:t xml:space="preserve"> (dal</w:t>
      </w:r>
      <w:r>
        <w:rPr>
          <w:sz w:val="24"/>
          <w:szCs w:val="24"/>
        </w:rPr>
        <w:t>la</w:t>
      </w:r>
      <w:r w:rsidRPr="00555C85">
        <w:rPr>
          <w:sz w:val="24"/>
          <w:szCs w:val="24"/>
        </w:rPr>
        <w:t xml:space="preserve"> rigenerazione alle nuove tecniche e materiali per il risparmio energetico, l’antisismico, ecc.). Al riguardo si potrebbe decidere di </w:t>
      </w:r>
      <w:r>
        <w:rPr>
          <w:sz w:val="24"/>
          <w:szCs w:val="24"/>
        </w:rPr>
        <w:t xml:space="preserve">far </w:t>
      </w:r>
      <w:r w:rsidRPr="00555C85">
        <w:rPr>
          <w:sz w:val="24"/>
          <w:szCs w:val="24"/>
        </w:rPr>
        <w:t xml:space="preserve">versare l’0,30% per la formazione continua direttamente </w:t>
      </w:r>
      <w:r>
        <w:rPr>
          <w:sz w:val="24"/>
          <w:szCs w:val="24"/>
        </w:rPr>
        <w:t>alle</w:t>
      </w:r>
      <w:r w:rsidRPr="00555C85">
        <w:rPr>
          <w:sz w:val="24"/>
          <w:szCs w:val="24"/>
        </w:rPr>
        <w:t xml:space="preserve"> Scuole Edili;</w:t>
      </w:r>
    </w:p>
    <w:p w:rsidR="008F6D91" w:rsidRPr="008F6D91" w:rsidRDefault="008F6D91" w:rsidP="008F6D91">
      <w:pPr>
        <w:pStyle w:val="Paragrafoelenco"/>
        <w:rPr>
          <w:sz w:val="24"/>
          <w:szCs w:val="24"/>
        </w:rPr>
      </w:pP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un </w:t>
      </w:r>
      <w:r w:rsidRPr="00860C0E">
        <w:rPr>
          <w:b/>
          <w:sz w:val="24"/>
          <w:szCs w:val="24"/>
        </w:rPr>
        <w:t>piano straordinario di riconoscimento degli ammortizzatori a fronte di riconversione produttiva delle imprese</w:t>
      </w:r>
      <w:r>
        <w:rPr>
          <w:sz w:val="24"/>
          <w:szCs w:val="24"/>
        </w:rPr>
        <w:t xml:space="preserve"> </w:t>
      </w:r>
      <w:r w:rsidRPr="00555C85">
        <w:rPr>
          <w:sz w:val="24"/>
          <w:szCs w:val="24"/>
        </w:rPr>
        <w:t xml:space="preserve"> cui parte significativa del personale e delle tecnologie produttive viene riqualificato/riconvertito sul green building (sia imprese edili che imprese di produzione di nuovi materiali)</w:t>
      </w:r>
      <w:r>
        <w:rPr>
          <w:sz w:val="24"/>
          <w:szCs w:val="24"/>
        </w:rPr>
        <w:t xml:space="preserve">, anche finalizzando a ciò </w:t>
      </w:r>
      <w:r w:rsidRPr="007D07CF">
        <w:rPr>
          <w:b/>
          <w:bCs/>
          <w:sz w:val="24"/>
          <w:szCs w:val="24"/>
        </w:rPr>
        <w:t>le quote eccedenti le attuali aliquote</w:t>
      </w:r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cigo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cigs</w:t>
      </w:r>
      <w:proofErr w:type="spellEnd"/>
      <w:r>
        <w:rPr>
          <w:sz w:val="24"/>
          <w:szCs w:val="24"/>
        </w:rPr>
        <w:t xml:space="preserve"> che, per le imprese edili, sono più alte rispetto a tutti gli altri settori, o escludendo dal computo dei periodi massimi la cassa integrazione per maltempo;</w:t>
      </w:r>
    </w:p>
    <w:p w:rsidR="008F6D91" w:rsidRPr="008F6D91" w:rsidRDefault="008F6D91" w:rsidP="008F6D91">
      <w:pPr>
        <w:pStyle w:val="Paragrafoelenco"/>
        <w:rPr>
          <w:sz w:val="24"/>
          <w:szCs w:val="24"/>
        </w:rPr>
      </w:pP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una </w:t>
      </w:r>
      <w:r w:rsidRPr="00860C0E">
        <w:rPr>
          <w:b/>
          <w:sz w:val="24"/>
          <w:szCs w:val="24"/>
        </w:rPr>
        <w:t>sistematizzazione degli attuali incentivi fiscali</w:t>
      </w:r>
      <w:r w:rsidRPr="00555C85">
        <w:rPr>
          <w:sz w:val="24"/>
          <w:szCs w:val="24"/>
        </w:rPr>
        <w:t xml:space="preserve"> per ristrutturazioni, eco bonus, anti sismico,</w:t>
      </w:r>
      <w:r>
        <w:rPr>
          <w:sz w:val="24"/>
          <w:szCs w:val="24"/>
        </w:rPr>
        <w:t xml:space="preserve"> bonus</w:t>
      </w:r>
      <w:r w:rsidRPr="00555C85">
        <w:rPr>
          <w:sz w:val="24"/>
          <w:szCs w:val="24"/>
        </w:rPr>
        <w:t xml:space="preserve"> facciate</w:t>
      </w:r>
      <w:r>
        <w:rPr>
          <w:sz w:val="24"/>
          <w:szCs w:val="24"/>
        </w:rPr>
        <w:t>, ecc.</w:t>
      </w:r>
      <w:r w:rsidRPr="00555C85">
        <w:rPr>
          <w:sz w:val="24"/>
          <w:szCs w:val="24"/>
        </w:rPr>
        <w:t xml:space="preserve"> permettendone </w:t>
      </w:r>
      <w:r w:rsidRPr="00860C0E">
        <w:rPr>
          <w:b/>
          <w:sz w:val="24"/>
          <w:szCs w:val="24"/>
        </w:rPr>
        <w:t>la cumulabilità e la cedibilità bancaria</w:t>
      </w:r>
      <w:r w:rsidRPr="00555C85">
        <w:rPr>
          <w:sz w:val="24"/>
          <w:szCs w:val="24"/>
        </w:rPr>
        <w:t xml:space="preserve"> dei crediti, chiedendo la modifica della classificazione contabile delle minori entrate fiscali già previste in legge di bilancio ma ritenute</w:t>
      </w:r>
      <w:r>
        <w:rPr>
          <w:sz w:val="24"/>
          <w:szCs w:val="24"/>
        </w:rPr>
        <w:t>,</w:t>
      </w:r>
      <w:r w:rsidRPr="00555C85">
        <w:rPr>
          <w:sz w:val="24"/>
          <w:szCs w:val="24"/>
        </w:rPr>
        <w:t xml:space="preserve"> in sede comunitaria come “debito”;</w:t>
      </w:r>
    </w:p>
    <w:p w:rsidR="008F6D91" w:rsidRPr="008F6D91" w:rsidRDefault="008F6D91" w:rsidP="008F6D91">
      <w:pPr>
        <w:pStyle w:val="Paragrafoelenco"/>
        <w:rPr>
          <w:sz w:val="24"/>
          <w:szCs w:val="24"/>
        </w:rPr>
      </w:pPr>
    </w:p>
    <w:p w:rsidR="008F6D91" w:rsidRDefault="008F6D91" w:rsidP="008F6D91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8F6D91">
        <w:rPr>
          <w:sz w:val="24"/>
          <w:szCs w:val="24"/>
        </w:rPr>
        <w:t xml:space="preserve">l’attuazione del </w:t>
      </w:r>
      <w:r w:rsidRPr="008F6D91">
        <w:rPr>
          <w:b/>
          <w:bCs/>
          <w:sz w:val="24"/>
          <w:szCs w:val="24"/>
        </w:rPr>
        <w:t>PNIEC</w:t>
      </w:r>
      <w:r w:rsidRPr="008F6D91">
        <w:rPr>
          <w:sz w:val="24"/>
          <w:szCs w:val="24"/>
        </w:rPr>
        <w:t xml:space="preserve"> – Piano Nazionale Integrato per l’Energia e il Clima – che punta all’efficientamento ed all’autosufficienza energetica degli edifici entro il 2050 (accordo di Parigi 2015);</w:t>
      </w:r>
    </w:p>
    <w:p w:rsidR="008F6D91" w:rsidRPr="008F6D91" w:rsidRDefault="008F6D91" w:rsidP="008F6D91">
      <w:pPr>
        <w:pStyle w:val="Paragrafoelenco"/>
        <w:rPr>
          <w:sz w:val="24"/>
          <w:szCs w:val="24"/>
        </w:rPr>
      </w:pP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il riconoscimento </w:t>
      </w:r>
      <w:r w:rsidRPr="00860C0E">
        <w:rPr>
          <w:b/>
          <w:sz w:val="24"/>
          <w:szCs w:val="24"/>
        </w:rPr>
        <w:t>della potestà di intervento sui condomini</w:t>
      </w:r>
      <w:r w:rsidRPr="00555C85">
        <w:rPr>
          <w:sz w:val="24"/>
          <w:szCs w:val="24"/>
        </w:rPr>
        <w:t xml:space="preserve"> (65% delle abitazioni nelle grandi aree metropolitane), anche in caso di maggioranza semplice</w:t>
      </w:r>
      <w:r>
        <w:rPr>
          <w:sz w:val="24"/>
          <w:szCs w:val="24"/>
        </w:rPr>
        <w:t>,</w:t>
      </w:r>
      <w:r w:rsidRPr="00555C85">
        <w:rPr>
          <w:sz w:val="24"/>
          <w:szCs w:val="24"/>
        </w:rPr>
        <w:t xml:space="preserve"> sulle parti comuni;</w:t>
      </w:r>
    </w:p>
    <w:p w:rsidR="00264694" w:rsidRDefault="00264694" w:rsidP="00264694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8D0C5B">
        <w:rPr>
          <w:sz w:val="24"/>
          <w:szCs w:val="24"/>
        </w:rPr>
        <w:t>rendere obbligatorio il fascicolo del fabbricato, documento tecnico nel quale sono contenute tutte le informazioni relative allo stato di agibilità e sicurezza di un immobile;</w:t>
      </w:r>
    </w:p>
    <w:p w:rsidR="008F6D91" w:rsidRDefault="008F6D91" w:rsidP="008F6D91">
      <w:pPr>
        <w:pStyle w:val="Paragrafoelenco"/>
        <w:ind w:left="1080"/>
        <w:jc w:val="both"/>
        <w:rPr>
          <w:sz w:val="24"/>
          <w:szCs w:val="24"/>
        </w:rPr>
      </w:pPr>
    </w:p>
    <w:p w:rsidR="00F34FAA" w:rsidRPr="00555C85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l’obbligo di inserire una </w:t>
      </w:r>
      <w:r w:rsidRPr="00860C0E">
        <w:rPr>
          <w:b/>
          <w:sz w:val="24"/>
          <w:szCs w:val="24"/>
        </w:rPr>
        <w:t>percentuale minima di appalti verdi</w:t>
      </w:r>
      <w:r w:rsidRPr="00555C85">
        <w:rPr>
          <w:sz w:val="24"/>
          <w:szCs w:val="24"/>
        </w:rPr>
        <w:t xml:space="preserve"> in tutti gli appalti di lavori, sia di manutenzione che di nuova opera, sopra la soglia comunitaria.</w:t>
      </w:r>
    </w:p>
    <w:p w:rsidR="00F34FAA" w:rsidRDefault="00F34FAA" w:rsidP="00F34FAA">
      <w:pPr>
        <w:ind w:left="720"/>
        <w:jc w:val="both"/>
        <w:rPr>
          <w:sz w:val="24"/>
          <w:szCs w:val="24"/>
        </w:rPr>
      </w:pPr>
      <w:r w:rsidRPr="00555C85">
        <w:rPr>
          <w:sz w:val="24"/>
          <w:szCs w:val="24"/>
        </w:rPr>
        <w:lastRenderedPageBreak/>
        <w:t xml:space="preserve">Si propone un tavolo tecnico con Mise, Ministero del Lavoro, </w:t>
      </w:r>
      <w:proofErr w:type="spellStart"/>
      <w:r w:rsidRPr="00555C85">
        <w:rPr>
          <w:sz w:val="24"/>
          <w:szCs w:val="24"/>
        </w:rPr>
        <w:t>Mef</w:t>
      </w:r>
      <w:proofErr w:type="spellEnd"/>
      <w:r w:rsidRPr="00555C85">
        <w:rPr>
          <w:sz w:val="24"/>
          <w:szCs w:val="24"/>
        </w:rPr>
        <w:t xml:space="preserve">, </w:t>
      </w:r>
      <w:proofErr w:type="spellStart"/>
      <w:r w:rsidRPr="00555C85">
        <w:rPr>
          <w:sz w:val="24"/>
          <w:szCs w:val="24"/>
        </w:rPr>
        <w:t>Mit</w:t>
      </w:r>
      <w:proofErr w:type="spellEnd"/>
      <w:r w:rsidRPr="00555C85">
        <w:rPr>
          <w:sz w:val="24"/>
          <w:szCs w:val="24"/>
        </w:rPr>
        <w:t>, Ministero dell’Ambiente e Mibact, al fine di approfondire tali proposte.</w:t>
      </w:r>
    </w:p>
    <w:p w:rsidR="008F6D91" w:rsidRDefault="008F6D91" w:rsidP="00F34FAA">
      <w:pPr>
        <w:ind w:left="720"/>
        <w:jc w:val="both"/>
        <w:rPr>
          <w:sz w:val="24"/>
          <w:szCs w:val="24"/>
        </w:rPr>
      </w:pPr>
    </w:p>
    <w:p w:rsidR="00F34FAA" w:rsidRDefault="00F34FAA" w:rsidP="00F34FA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Qualificazione del settore, delle imprese e </w:t>
      </w:r>
      <w:r w:rsidRPr="008F6D91">
        <w:rPr>
          <w:b/>
          <w:bCs/>
          <w:sz w:val="24"/>
          <w:szCs w:val="24"/>
        </w:rPr>
        <w:t>rispetto dei CCNL e della correttezza contributiva</w:t>
      </w:r>
      <w:r w:rsidRPr="00555C85">
        <w:rPr>
          <w:sz w:val="24"/>
          <w:szCs w:val="24"/>
        </w:rPr>
        <w:t xml:space="preserve"> sono precondizioni per una nuova politica industriale. </w:t>
      </w:r>
    </w:p>
    <w:p w:rsidR="008F6D91" w:rsidRDefault="008F6D91" w:rsidP="00F34FAA">
      <w:pPr>
        <w:pStyle w:val="Paragrafoelenco"/>
        <w:jc w:val="both"/>
        <w:rPr>
          <w:sz w:val="24"/>
          <w:szCs w:val="24"/>
        </w:rPr>
      </w:pPr>
    </w:p>
    <w:p w:rsidR="00F34FAA" w:rsidRPr="00555C85" w:rsidRDefault="00F34FAA" w:rsidP="00F34FAA">
      <w:pPr>
        <w:pStyle w:val="Paragrafoelenco"/>
        <w:jc w:val="both"/>
        <w:rPr>
          <w:sz w:val="24"/>
          <w:szCs w:val="24"/>
        </w:rPr>
      </w:pPr>
      <w:r w:rsidRPr="00555C85">
        <w:rPr>
          <w:sz w:val="24"/>
          <w:szCs w:val="24"/>
        </w:rPr>
        <w:t>Al riguardo si propone:</w:t>
      </w: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860C0E">
        <w:rPr>
          <w:b/>
          <w:sz w:val="24"/>
          <w:szCs w:val="24"/>
        </w:rPr>
        <w:t>Un rafforzamento dell’art. 30 c. 4 del Codice degli Appalti</w:t>
      </w:r>
      <w:r w:rsidRPr="00555C85">
        <w:rPr>
          <w:sz w:val="24"/>
          <w:szCs w:val="24"/>
        </w:rPr>
        <w:t xml:space="preserve"> sul corretto rispetto del CCNL edile contro le diverse forme di dumping contrattuale anche in relazione a settori specifici (per esempio il restauro o la carpenteria);</w:t>
      </w:r>
    </w:p>
    <w:p w:rsidR="008F6D91" w:rsidRPr="00555C85" w:rsidRDefault="008F6D91" w:rsidP="008F6D91">
      <w:pPr>
        <w:pStyle w:val="Paragrafoelenco"/>
        <w:ind w:left="1080"/>
        <w:jc w:val="both"/>
        <w:rPr>
          <w:sz w:val="24"/>
          <w:szCs w:val="24"/>
        </w:rPr>
      </w:pPr>
    </w:p>
    <w:p w:rsidR="00F34FAA" w:rsidRDefault="00F34FAA" w:rsidP="00A25571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46747E">
        <w:rPr>
          <w:b/>
          <w:sz w:val="24"/>
          <w:szCs w:val="24"/>
        </w:rPr>
        <w:t>Il ritorno al Durc nella versione ante 2015</w:t>
      </w:r>
      <w:r w:rsidRPr="0046747E">
        <w:rPr>
          <w:sz w:val="24"/>
          <w:szCs w:val="24"/>
        </w:rPr>
        <w:t xml:space="preserve"> (prima del DOL) al fine di ripristinare una certificazione delle regolarità contributiva con valenza trimestrale e per cantiere;</w:t>
      </w:r>
    </w:p>
    <w:p w:rsidR="008F6D91" w:rsidRPr="008F6D91" w:rsidRDefault="008F6D91" w:rsidP="008F6D91">
      <w:pPr>
        <w:pStyle w:val="Paragrafoelenco"/>
        <w:rPr>
          <w:sz w:val="24"/>
          <w:szCs w:val="24"/>
        </w:rPr>
      </w:pPr>
    </w:p>
    <w:p w:rsidR="0046747E" w:rsidRPr="0046747E" w:rsidRDefault="00F34FAA" w:rsidP="00305CF6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F34FAA">
        <w:rPr>
          <w:b/>
          <w:sz w:val="24"/>
          <w:szCs w:val="24"/>
        </w:rPr>
        <w:t>L’attuazione dell’art. 105 c. 16 del Codice degli Appalti</w:t>
      </w:r>
      <w:r w:rsidRPr="00F34FAA">
        <w:rPr>
          <w:sz w:val="24"/>
          <w:szCs w:val="24"/>
        </w:rPr>
        <w:t xml:space="preserve"> con la definizione delle tabelle di congruità e </w:t>
      </w:r>
      <w:r w:rsidRPr="00F34FAA">
        <w:rPr>
          <w:b/>
          <w:sz w:val="24"/>
          <w:szCs w:val="24"/>
        </w:rPr>
        <w:t xml:space="preserve">la subordinazione del riconoscimento di ogni incentivo pubblico </w:t>
      </w:r>
      <w:r w:rsidRPr="00F34FAA">
        <w:rPr>
          <w:sz w:val="24"/>
          <w:szCs w:val="24"/>
        </w:rPr>
        <w:t xml:space="preserve">(bonus ristrutturazione, eco bonus, incentivo anti sismico, bonus facciate, ecc.) </w:t>
      </w:r>
      <w:r w:rsidRPr="00F34FAA">
        <w:rPr>
          <w:b/>
          <w:sz w:val="24"/>
          <w:szCs w:val="24"/>
        </w:rPr>
        <w:t xml:space="preserve">al possesso per </w:t>
      </w:r>
    </w:p>
    <w:p w:rsidR="00F34FAA" w:rsidRDefault="00F34FAA" w:rsidP="0046747E">
      <w:pPr>
        <w:pStyle w:val="Paragrafoelenco"/>
        <w:ind w:left="1080"/>
        <w:jc w:val="both"/>
        <w:rPr>
          <w:sz w:val="24"/>
          <w:szCs w:val="24"/>
        </w:rPr>
      </w:pPr>
      <w:r w:rsidRPr="00F34FAA">
        <w:rPr>
          <w:b/>
          <w:sz w:val="24"/>
          <w:szCs w:val="24"/>
        </w:rPr>
        <w:t xml:space="preserve">lo specifico cantiere della certificazione di congruità </w:t>
      </w:r>
      <w:r w:rsidRPr="00F34FAA">
        <w:rPr>
          <w:sz w:val="24"/>
          <w:szCs w:val="24"/>
        </w:rPr>
        <w:t>per cui si chiede il contributo. In questo modo, oltre a contrastare l’evasione fiscale (bonifici parlanti) si contrasterebbe anche il lavoro nero o grigio nel mercato privato</w:t>
      </w:r>
      <w:r>
        <w:rPr>
          <w:sz w:val="24"/>
          <w:szCs w:val="24"/>
        </w:rPr>
        <w:t>;</w:t>
      </w:r>
    </w:p>
    <w:p w:rsidR="003809C3" w:rsidRDefault="003809C3" w:rsidP="0046747E">
      <w:pPr>
        <w:pStyle w:val="Paragrafoelenco"/>
        <w:ind w:left="1080"/>
        <w:jc w:val="both"/>
        <w:rPr>
          <w:sz w:val="24"/>
          <w:szCs w:val="24"/>
        </w:rPr>
      </w:pPr>
    </w:p>
    <w:p w:rsidR="00264694" w:rsidRDefault="00264694" w:rsidP="00264694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264694">
        <w:rPr>
          <w:sz w:val="24"/>
          <w:szCs w:val="24"/>
        </w:rPr>
        <w:t xml:space="preserve">L’istituzione di una </w:t>
      </w:r>
      <w:r w:rsidRPr="008D0C5B">
        <w:rPr>
          <w:sz w:val="24"/>
          <w:szCs w:val="24"/>
        </w:rPr>
        <w:t xml:space="preserve">regia unica </w:t>
      </w:r>
      <w:r w:rsidRPr="00264694">
        <w:rPr>
          <w:sz w:val="24"/>
          <w:szCs w:val="24"/>
        </w:rPr>
        <w:t xml:space="preserve">e di coordinamento tra Ispettorato del lavoro, </w:t>
      </w:r>
      <w:proofErr w:type="spellStart"/>
      <w:r w:rsidRPr="00264694">
        <w:rPr>
          <w:sz w:val="24"/>
          <w:szCs w:val="24"/>
        </w:rPr>
        <w:t>Ispels</w:t>
      </w:r>
      <w:proofErr w:type="spellEnd"/>
      <w:r w:rsidRPr="00264694">
        <w:rPr>
          <w:sz w:val="24"/>
          <w:szCs w:val="24"/>
        </w:rPr>
        <w:t>, Asl, MISE, Regioni e Vigili del fuoco in tema di prevenzione e controlli della regolarità sui luoghi di lavoro, coinvolgendo gli strumenti Bilaterali dell’edilizia;</w:t>
      </w:r>
    </w:p>
    <w:p w:rsidR="003809C3" w:rsidRDefault="003809C3" w:rsidP="003809C3">
      <w:pPr>
        <w:pStyle w:val="Paragrafoelenco"/>
        <w:ind w:left="1080"/>
        <w:jc w:val="both"/>
        <w:rPr>
          <w:sz w:val="24"/>
          <w:szCs w:val="24"/>
        </w:rPr>
      </w:pPr>
    </w:p>
    <w:p w:rsidR="00F34FAA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Generalizzazione della comunicazione obbligatoria delle </w:t>
      </w:r>
      <w:r w:rsidRPr="00120269">
        <w:rPr>
          <w:b/>
          <w:sz w:val="24"/>
          <w:szCs w:val="24"/>
        </w:rPr>
        <w:t>notifiche preliminari</w:t>
      </w:r>
      <w:r w:rsidRPr="00555C85">
        <w:rPr>
          <w:sz w:val="24"/>
          <w:szCs w:val="24"/>
        </w:rPr>
        <w:t xml:space="preserve"> a favore delle Casse Edili ed </w:t>
      </w:r>
      <w:proofErr w:type="spellStart"/>
      <w:r w:rsidRPr="00555C85">
        <w:rPr>
          <w:sz w:val="24"/>
          <w:szCs w:val="24"/>
        </w:rPr>
        <w:t>Edilca</w:t>
      </w:r>
      <w:r>
        <w:rPr>
          <w:sz w:val="24"/>
          <w:szCs w:val="24"/>
        </w:rPr>
        <w:t>sse</w:t>
      </w:r>
      <w:proofErr w:type="spellEnd"/>
      <w:r>
        <w:rPr>
          <w:sz w:val="24"/>
          <w:szCs w:val="24"/>
        </w:rPr>
        <w:t xml:space="preserve"> ed</w:t>
      </w:r>
      <w:r w:rsidRPr="00555C85">
        <w:rPr>
          <w:sz w:val="24"/>
          <w:szCs w:val="24"/>
        </w:rPr>
        <w:t xml:space="preserve"> introduzione dell’anagrafe di cantiere;</w:t>
      </w:r>
    </w:p>
    <w:p w:rsidR="003809C3" w:rsidRPr="003809C3" w:rsidRDefault="003809C3" w:rsidP="003809C3">
      <w:pPr>
        <w:pStyle w:val="Paragrafoelenco"/>
        <w:rPr>
          <w:sz w:val="24"/>
          <w:szCs w:val="24"/>
        </w:rPr>
      </w:pPr>
    </w:p>
    <w:p w:rsidR="00F34FAA" w:rsidRPr="00555C85" w:rsidRDefault="00F34FAA" w:rsidP="00F34FAA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Generalizzazione delle </w:t>
      </w:r>
      <w:r w:rsidRPr="00F34FAA">
        <w:rPr>
          <w:b/>
          <w:bCs/>
          <w:sz w:val="24"/>
          <w:szCs w:val="24"/>
        </w:rPr>
        <w:t>terze linee guida ex CCASGO</w:t>
      </w:r>
      <w:r w:rsidRPr="00555C85">
        <w:rPr>
          <w:sz w:val="24"/>
          <w:szCs w:val="24"/>
        </w:rPr>
        <w:t xml:space="preserve"> sulla comunicazione del settimanale di cantiere, in forma semplificata, alle Casse Edili ed </w:t>
      </w:r>
      <w:proofErr w:type="spellStart"/>
      <w:r w:rsidRPr="00555C85">
        <w:rPr>
          <w:sz w:val="24"/>
          <w:szCs w:val="24"/>
        </w:rPr>
        <w:t>Edil</w:t>
      </w:r>
      <w:r>
        <w:rPr>
          <w:sz w:val="24"/>
          <w:szCs w:val="24"/>
        </w:rPr>
        <w:t>casse</w:t>
      </w:r>
      <w:proofErr w:type="spellEnd"/>
      <w:r>
        <w:rPr>
          <w:sz w:val="24"/>
          <w:szCs w:val="24"/>
        </w:rPr>
        <w:t xml:space="preserve"> per ogni appalto di lavori</w:t>
      </w:r>
      <w:r w:rsidRPr="00555C85">
        <w:rPr>
          <w:sz w:val="24"/>
          <w:szCs w:val="24"/>
        </w:rPr>
        <w:t xml:space="preserve"> superiore alla soglia comunitaria.</w:t>
      </w:r>
    </w:p>
    <w:p w:rsidR="00F34FAA" w:rsidRPr="00555C85" w:rsidRDefault="00F34FAA" w:rsidP="00F34FAA">
      <w:pPr>
        <w:pStyle w:val="Paragrafoelenco"/>
        <w:ind w:left="1080"/>
        <w:jc w:val="both"/>
        <w:rPr>
          <w:sz w:val="24"/>
          <w:szCs w:val="24"/>
        </w:rPr>
      </w:pPr>
    </w:p>
    <w:p w:rsidR="00F34FAA" w:rsidRPr="00555C85" w:rsidRDefault="00F34FAA" w:rsidP="00F34FAA">
      <w:pPr>
        <w:pStyle w:val="Paragrafoelenco"/>
        <w:ind w:left="1080"/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Al riguardo si propone un tavolo tecnico con Mise, Ministero del Lavoro, </w:t>
      </w:r>
      <w:proofErr w:type="spellStart"/>
      <w:r w:rsidRPr="00555C85"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>, Ministero degli Interni</w:t>
      </w:r>
      <w:r w:rsidRPr="00555C85">
        <w:rPr>
          <w:sz w:val="24"/>
          <w:szCs w:val="24"/>
        </w:rPr>
        <w:t>.</w:t>
      </w:r>
    </w:p>
    <w:p w:rsidR="00F34FAA" w:rsidRDefault="00F34FAA" w:rsidP="00F34FAA">
      <w:pPr>
        <w:pStyle w:val="Paragrafoelenco"/>
        <w:ind w:left="1080"/>
        <w:jc w:val="both"/>
        <w:rPr>
          <w:sz w:val="24"/>
          <w:szCs w:val="24"/>
        </w:rPr>
      </w:pPr>
    </w:p>
    <w:p w:rsidR="003809C3" w:rsidRPr="00555C85" w:rsidRDefault="003809C3" w:rsidP="00F34FAA">
      <w:pPr>
        <w:pStyle w:val="Paragrafoelenco"/>
        <w:ind w:left="1080"/>
        <w:jc w:val="both"/>
        <w:rPr>
          <w:sz w:val="24"/>
          <w:szCs w:val="24"/>
        </w:rPr>
      </w:pPr>
    </w:p>
    <w:p w:rsidR="003809C3" w:rsidRDefault="007819E4" w:rsidP="007819E4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F34FAA">
        <w:rPr>
          <w:b/>
          <w:sz w:val="24"/>
          <w:szCs w:val="24"/>
        </w:rPr>
        <w:t>Qualificazione delle stazioni appaltanti e contrasto allo sciopero della firma</w:t>
      </w:r>
      <w:r w:rsidRPr="00F34FAA">
        <w:rPr>
          <w:sz w:val="24"/>
          <w:szCs w:val="24"/>
        </w:rPr>
        <w:t xml:space="preserve">. Negli ultimi 20 anni sono venute meno oltre 15 mila figure tecniche (ingegneri, architetti, geologi, archeologi, geometri) negli uffici dei Lavori pubblici, nel Genio Civile, negli uffici territoriali </w:t>
      </w:r>
      <w:r w:rsidRPr="00F34FAA">
        <w:rPr>
          <w:sz w:val="24"/>
          <w:szCs w:val="24"/>
        </w:rPr>
        <w:lastRenderedPageBreak/>
        <w:t xml:space="preserve">del </w:t>
      </w:r>
      <w:proofErr w:type="spellStart"/>
      <w:r w:rsidRPr="00F34FAA">
        <w:rPr>
          <w:sz w:val="24"/>
          <w:szCs w:val="24"/>
        </w:rPr>
        <w:t>Mit</w:t>
      </w:r>
      <w:proofErr w:type="spellEnd"/>
      <w:r w:rsidRPr="00F34FAA">
        <w:rPr>
          <w:sz w:val="24"/>
          <w:szCs w:val="24"/>
        </w:rPr>
        <w:t xml:space="preserve">. Questo ha privato centinaia di enti locali, anche di medie e grandi dimensioni, del numero minimo per assicurare l’ordinaria progettazione e/o controllo sui lavori edili, pubblici e privati.  Il rischio inoltre (anche in caso di utilizzo del “bando tipo” redatto </w:t>
      </w:r>
      <w:proofErr w:type="spellStart"/>
      <w:r w:rsidRPr="00F34FAA">
        <w:rPr>
          <w:sz w:val="24"/>
          <w:szCs w:val="24"/>
        </w:rPr>
        <w:t>dall’Anac</w:t>
      </w:r>
      <w:proofErr w:type="spellEnd"/>
      <w:r w:rsidRPr="00F34FAA">
        <w:rPr>
          <w:sz w:val="24"/>
          <w:szCs w:val="24"/>
        </w:rPr>
        <w:t xml:space="preserve">) del danno erariale e del ricorso avverso al Tar sta da tempo spingendo numerosi dirigenti delle PP.AA. al cosiddetto “sciopero della firma”. </w:t>
      </w:r>
      <w:r>
        <w:rPr>
          <w:sz w:val="24"/>
          <w:szCs w:val="24"/>
        </w:rPr>
        <w:t xml:space="preserve"> </w:t>
      </w:r>
    </w:p>
    <w:p w:rsidR="003809C3" w:rsidRDefault="003809C3" w:rsidP="003809C3">
      <w:pPr>
        <w:pStyle w:val="Paragrafoelenco"/>
        <w:jc w:val="both"/>
        <w:rPr>
          <w:b/>
          <w:sz w:val="24"/>
          <w:szCs w:val="24"/>
        </w:rPr>
      </w:pPr>
    </w:p>
    <w:p w:rsidR="007819E4" w:rsidRPr="00F34FAA" w:rsidRDefault="007819E4" w:rsidP="003809C3">
      <w:pPr>
        <w:pStyle w:val="Paragrafoelenco"/>
        <w:jc w:val="both"/>
        <w:rPr>
          <w:sz w:val="24"/>
          <w:szCs w:val="24"/>
        </w:rPr>
      </w:pPr>
      <w:r w:rsidRPr="00F34FAA">
        <w:rPr>
          <w:sz w:val="24"/>
          <w:szCs w:val="24"/>
        </w:rPr>
        <w:t xml:space="preserve">Si chiede di </w:t>
      </w:r>
      <w:r w:rsidRPr="00F34FAA">
        <w:rPr>
          <w:b/>
          <w:sz w:val="24"/>
          <w:szCs w:val="24"/>
        </w:rPr>
        <w:t>codificare preventivamente le procedure di auto tutela del dirigente</w:t>
      </w:r>
      <w:r w:rsidRPr="00F34FAA">
        <w:rPr>
          <w:sz w:val="24"/>
          <w:szCs w:val="24"/>
        </w:rPr>
        <w:t>, anche prevedendo un rafforzamento del controllo giudiziario preventivo, a fronte di una riforma dello stesso reato di abuso di ufficio e di responsabilità erariale.</w:t>
      </w:r>
    </w:p>
    <w:p w:rsidR="007819E4" w:rsidRPr="00555C85" w:rsidRDefault="007819E4" w:rsidP="007819E4">
      <w:pPr>
        <w:pStyle w:val="Paragrafoelenco"/>
        <w:jc w:val="both"/>
        <w:rPr>
          <w:sz w:val="24"/>
          <w:szCs w:val="24"/>
        </w:rPr>
      </w:pPr>
    </w:p>
    <w:p w:rsidR="007819E4" w:rsidRDefault="007819E4" w:rsidP="007819E4">
      <w:pPr>
        <w:pStyle w:val="Paragrafoelenco"/>
        <w:jc w:val="both"/>
        <w:rPr>
          <w:sz w:val="24"/>
          <w:szCs w:val="24"/>
        </w:rPr>
      </w:pPr>
      <w:r w:rsidRPr="00555C85">
        <w:rPr>
          <w:sz w:val="24"/>
          <w:szCs w:val="24"/>
        </w:rPr>
        <w:t xml:space="preserve">Al riguardo si propone un tavolo tecnico con Mise, </w:t>
      </w:r>
      <w:proofErr w:type="spellStart"/>
      <w:r w:rsidRPr="00555C85">
        <w:rPr>
          <w:sz w:val="24"/>
          <w:szCs w:val="24"/>
        </w:rPr>
        <w:t>Mit</w:t>
      </w:r>
      <w:proofErr w:type="spellEnd"/>
      <w:r w:rsidRPr="00555C85">
        <w:rPr>
          <w:sz w:val="24"/>
          <w:szCs w:val="24"/>
        </w:rPr>
        <w:t xml:space="preserve">, Ministero della Funzione Pubblica, Ministero di Giustizia, </w:t>
      </w:r>
      <w:proofErr w:type="spellStart"/>
      <w:r w:rsidRPr="00555C85">
        <w:rPr>
          <w:sz w:val="24"/>
          <w:szCs w:val="24"/>
        </w:rPr>
        <w:t>Anac</w:t>
      </w:r>
      <w:proofErr w:type="spellEnd"/>
      <w:r w:rsidRPr="00555C85">
        <w:rPr>
          <w:sz w:val="24"/>
          <w:szCs w:val="24"/>
        </w:rPr>
        <w:t>.</w:t>
      </w:r>
    </w:p>
    <w:p w:rsidR="007819E4" w:rsidRDefault="007819E4" w:rsidP="007819E4">
      <w:pPr>
        <w:pStyle w:val="Paragrafoelenco"/>
        <w:jc w:val="both"/>
        <w:rPr>
          <w:sz w:val="24"/>
          <w:szCs w:val="24"/>
        </w:rPr>
      </w:pPr>
    </w:p>
    <w:p w:rsidR="00264694" w:rsidRPr="008D0C5B" w:rsidRDefault="007819E4" w:rsidP="00AE6F71">
      <w:pPr>
        <w:pStyle w:val="Paragrafoelenco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8D0C5B">
        <w:rPr>
          <w:b/>
          <w:sz w:val="24"/>
          <w:szCs w:val="24"/>
        </w:rPr>
        <w:t>Incentivi alla fusione tra le aziende</w:t>
      </w:r>
      <w:r w:rsidRPr="008D0C5B">
        <w:rPr>
          <w:sz w:val="24"/>
          <w:szCs w:val="24"/>
        </w:rPr>
        <w:t xml:space="preserve">. Il settore è caratterizzato da una presenza massiccia di piccole e </w:t>
      </w:r>
      <w:proofErr w:type="gramStart"/>
      <w:r w:rsidRPr="008D0C5B">
        <w:rPr>
          <w:sz w:val="24"/>
          <w:szCs w:val="24"/>
        </w:rPr>
        <w:t>medio imprese</w:t>
      </w:r>
      <w:proofErr w:type="gramEnd"/>
      <w:r w:rsidRPr="008D0C5B">
        <w:rPr>
          <w:sz w:val="24"/>
          <w:szCs w:val="24"/>
        </w:rPr>
        <w:t>. Il nanismo imprenditoriale è un ostacolo alla crescita e determina</w:t>
      </w:r>
    </w:p>
    <w:p w:rsidR="00264694" w:rsidRDefault="007819E4" w:rsidP="00264694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molti casi condizioni peggiori per i lavoratori. Gli incentivi ad hoc </w:t>
      </w:r>
      <w:r w:rsidR="00264694" w:rsidRPr="008D0C5B">
        <w:rPr>
          <w:b/>
          <w:bCs/>
          <w:sz w:val="24"/>
          <w:szCs w:val="24"/>
        </w:rPr>
        <w:t xml:space="preserve">per la crescita dimensionale </w:t>
      </w:r>
      <w:r>
        <w:rPr>
          <w:sz w:val="24"/>
          <w:szCs w:val="24"/>
        </w:rPr>
        <w:t>potrebbero indurre le imprese più piccole ad accorparsi, dando vita a realtà imprenditoriali più strutturate e competitive.</w:t>
      </w:r>
    </w:p>
    <w:p w:rsidR="008D0C5B" w:rsidRDefault="008D0C5B" w:rsidP="00264694">
      <w:pPr>
        <w:pStyle w:val="Paragrafoelenco"/>
        <w:jc w:val="both"/>
        <w:rPr>
          <w:sz w:val="24"/>
          <w:szCs w:val="24"/>
        </w:rPr>
      </w:pPr>
    </w:p>
    <w:p w:rsidR="00264694" w:rsidRDefault="007819E4" w:rsidP="00FE533F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7819E4">
        <w:rPr>
          <w:b/>
          <w:sz w:val="24"/>
          <w:szCs w:val="24"/>
        </w:rPr>
        <w:t>Rottamazione dei capannoni</w:t>
      </w:r>
      <w:r>
        <w:rPr>
          <w:sz w:val="24"/>
          <w:szCs w:val="24"/>
        </w:rPr>
        <w:t>. Nel Paese ci sono tantissimi capannoni industriali in disuso o che necessitano di manutenzione. Bisognerebbe prevedere incentivi sia per il passaggio da una classe energetica bassa ad una alta (alla stregua di quello che avviene per le</w:t>
      </w:r>
      <w:r w:rsidR="00264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abitazioni), che per la ristrutturazione ed il recupero dei capannoni abbandonati, </w:t>
      </w:r>
      <w:r w:rsidR="00B32029">
        <w:rPr>
          <w:sz w:val="24"/>
          <w:szCs w:val="24"/>
        </w:rPr>
        <w:t xml:space="preserve">premiando ulteriormente la realizzazione di edifici di housing sociale. </w:t>
      </w:r>
    </w:p>
    <w:p w:rsidR="007819E4" w:rsidRDefault="007819E4" w:rsidP="00264694">
      <w:pPr>
        <w:pStyle w:val="Paragrafoelenco"/>
        <w:jc w:val="both"/>
        <w:rPr>
          <w:sz w:val="24"/>
          <w:szCs w:val="24"/>
        </w:rPr>
      </w:pPr>
    </w:p>
    <w:p w:rsidR="00264694" w:rsidRDefault="00B32029" w:rsidP="00B32029">
      <w:pPr>
        <w:pStyle w:val="Paragrafoelenco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4"/>
          <w:szCs w:val="24"/>
          <w:lang w:val="it"/>
        </w:rPr>
      </w:pPr>
      <w:r w:rsidRPr="00B32029">
        <w:rPr>
          <w:b/>
          <w:sz w:val="24"/>
          <w:szCs w:val="24"/>
        </w:rPr>
        <w:t>Misure per i Comuni che investono nella salvaguardia dal rischio idrogeologico</w:t>
      </w:r>
      <w:r w:rsidRPr="00B32029">
        <w:rPr>
          <w:sz w:val="24"/>
          <w:szCs w:val="24"/>
        </w:rPr>
        <w:t xml:space="preserve">. </w:t>
      </w:r>
      <w:r>
        <w:rPr>
          <w:rFonts w:cs="Segoe Print"/>
          <w:sz w:val="24"/>
          <w:szCs w:val="24"/>
          <w:lang w:val="it"/>
        </w:rPr>
        <w:t>I</w:t>
      </w:r>
      <w:r w:rsidRPr="00B32029">
        <w:rPr>
          <w:rFonts w:cs="Segoe Print"/>
          <w:sz w:val="24"/>
          <w:szCs w:val="24"/>
          <w:lang w:val="it"/>
        </w:rPr>
        <w:t>l 91,1% dei Comuni italiani ha almeno un’area a rischio per frana o alluvione.</w:t>
      </w:r>
      <w:r>
        <w:rPr>
          <w:rFonts w:cs="Segoe Print"/>
          <w:sz w:val="24"/>
          <w:szCs w:val="24"/>
          <w:lang w:val="it"/>
        </w:rPr>
        <w:t xml:space="preserve"> Negli ultimi anni si riscontra un netto aumento dei fenomeni legati a questi eventi, che oltre alla devastazione del territorio provocano molto spesso vittime. Proponiamo di mettere in campo misure atte a favorire i Comuni che intendono investire nella sicurezza del territorio, attraverso finanziamenti a tasso agevolato e procedure più semplici e celeri.  </w:t>
      </w:r>
    </w:p>
    <w:p w:rsidR="00264694" w:rsidRDefault="00264694" w:rsidP="00264694">
      <w:pPr>
        <w:pStyle w:val="Paragrafoelenc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4"/>
          <w:szCs w:val="24"/>
          <w:lang w:val="it"/>
        </w:rPr>
      </w:pPr>
      <w:r>
        <w:rPr>
          <w:rFonts w:cs="Segoe Print"/>
          <w:sz w:val="24"/>
          <w:szCs w:val="24"/>
          <w:lang w:val="it"/>
        </w:rPr>
        <w:t>Al riguardo sarebbe utile un Coordinamento con il tavolo aperto presso la Presidenza del Consiglio.</w:t>
      </w:r>
    </w:p>
    <w:p w:rsidR="00264694" w:rsidRPr="00264694" w:rsidRDefault="00264694" w:rsidP="00264694">
      <w:pPr>
        <w:pStyle w:val="Paragrafoelenco"/>
        <w:rPr>
          <w:rFonts w:cs="Segoe Print"/>
          <w:sz w:val="24"/>
          <w:szCs w:val="24"/>
          <w:lang w:val="it"/>
        </w:rPr>
      </w:pPr>
    </w:p>
    <w:p w:rsidR="00B32029" w:rsidRPr="00B32029" w:rsidRDefault="00B32029" w:rsidP="00264694">
      <w:pPr>
        <w:pStyle w:val="Paragrafoelenc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4"/>
          <w:szCs w:val="24"/>
          <w:lang w:val="it"/>
        </w:rPr>
      </w:pPr>
      <w:r>
        <w:rPr>
          <w:rFonts w:cs="Segoe Print"/>
          <w:sz w:val="24"/>
          <w:szCs w:val="24"/>
          <w:lang w:val="it"/>
        </w:rPr>
        <w:t xml:space="preserve">  </w:t>
      </w:r>
    </w:p>
    <w:p w:rsidR="007819E4" w:rsidRPr="00B32029" w:rsidRDefault="00B32029" w:rsidP="00B32029">
      <w:pPr>
        <w:jc w:val="both"/>
        <w:rPr>
          <w:sz w:val="24"/>
          <w:szCs w:val="24"/>
        </w:rPr>
      </w:pPr>
      <w:r w:rsidRPr="00B32029">
        <w:rPr>
          <w:sz w:val="24"/>
          <w:szCs w:val="24"/>
        </w:rPr>
        <w:t xml:space="preserve">  </w:t>
      </w:r>
      <w:r w:rsidR="007819E4" w:rsidRPr="00B32029">
        <w:rPr>
          <w:sz w:val="24"/>
          <w:szCs w:val="24"/>
        </w:rPr>
        <w:t xml:space="preserve">        </w:t>
      </w:r>
    </w:p>
    <w:p w:rsidR="00F34FAA" w:rsidRDefault="00F34FAA" w:rsidP="00F34FAA">
      <w:pPr>
        <w:pStyle w:val="Paragrafoelenco"/>
        <w:jc w:val="both"/>
        <w:rPr>
          <w:sz w:val="24"/>
          <w:szCs w:val="24"/>
        </w:rPr>
      </w:pPr>
    </w:p>
    <w:p w:rsidR="00F34FAA" w:rsidRPr="00D51488" w:rsidRDefault="00F34FAA" w:rsidP="00F34FAA">
      <w:pPr>
        <w:pStyle w:val="Paragrafoelenco"/>
        <w:jc w:val="right"/>
        <w:rPr>
          <w:b/>
          <w:sz w:val="24"/>
          <w:szCs w:val="24"/>
        </w:rPr>
      </w:pPr>
      <w:r w:rsidRPr="00D51488">
        <w:rPr>
          <w:b/>
          <w:sz w:val="24"/>
          <w:szCs w:val="24"/>
        </w:rPr>
        <w:t>Roma 11 Dicembre 2019</w:t>
      </w:r>
    </w:p>
    <w:p w:rsidR="00F34FAA" w:rsidRDefault="00F34FAA" w:rsidP="00F34FAA">
      <w:pPr>
        <w:pStyle w:val="Paragrafoelenco"/>
        <w:jc w:val="both"/>
        <w:rPr>
          <w:sz w:val="24"/>
          <w:szCs w:val="24"/>
        </w:rPr>
      </w:pPr>
    </w:p>
    <w:p w:rsidR="0046747E" w:rsidRDefault="0046747E" w:rsidP="00F34FAA">
      <w:pPr>
        <w:pStyle w:val="Paragrafoelenco"/>
        <w:jc w:val="both"/>
        <w:rPr>
          <w:sz w:val="24"/>
          <w:szCs w:val="24"/>
        </w:rPr>
      </w:pPr>
    </w:p>
    <w:p w:rsidR="00A949A9" w:rsidRPr="00B33329" w:rsidRDefault="00F34FAA" w:rsidP="00F34FAA">
      <w:pPr>
        <w:pStyle w:val="Paragrafoelenco"/>
        <w:jc w:val="center"/>
        <w:rPr>
          <w:b/>
          <w:i/>
          <w:sz w:val="24"/>
          <w:szCs w:val="24"/>
        </w:rPr>
      </w:pPr>
      <w:r w:rsidRPr="00D51488">
        <w:rPr>
          <w:b/>
          <w:i/>
          <w:sz w:val="24"/>
          <w:szCs w:val="24"/>
        </w:rPr>
        <w:t>Le Segreterie Nazionali di FENEAL UIL, FILCA CISL, FILLEA CGIL</w:t>
      </w:r>
    </w:p>
    <w:sectPr w:rsidR="00A949A9" w:rsidRPr="00B33329" w:rsidSect="008F35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B5F" w:rsidRDefault="001C7B5F" w:rsidP="00D65043">
      <w:pPr>
        <w:spacing w:after="0" w:line="240" w:lineRule="auto"/>
      </w:pPr>
      <w:r>
        <w:separator/>
      </w:r>
    </w:p>
  </w:endnote>
  <w:endnote w:type="continuationSeparator" w:id="0">
    <w:p w:rsidR="001C7B5F" w:rsidRDefault="001C7B5F" w:rsidP="00D6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08265"/>
      <w:docPartObj>
        <w:docPartGallery w:val="Page Numbers (Bottom of Page)"/>
        <w:docPartUnique/>
      </w:docPartObj>
    </w:sdtPr>
    <w:sdtEndPr/>
    <w:sdtContent>
      <w:p w:rsidR="00D65043" w:rsidRDefault="00690537">
        <w:pPr>
          <w:pStyle w:val="Pidipagina"/>
        </w:pPr>
        <w:r>
          <w:fldChar w:fldCharType="begin"/>
        </w:r>
        <w:r w:rsidR="00D65043">
          <w:instrText>PAGE   \* MERGEFORMAT</w:instrText>
        </w:r>
        <w:r>
          <w:fldChar w:fldCharType="separate"/>
        </w:r>
        <w:r w:rsidR="0017744F">
          <w:rPr>
            <w:noProof/>
          </w:rPr>
          <w:t>4</w:t>
        </w:r>
        <w:r>
          <w:fldChar w:fldCharType="end"/>
        </w:r>
      </w:p>
    </w:sdtContent>
  </w:sdt>
  <w:p w:rsidR="00D65043" w:rsidRDefault="00D65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B5F" w:rsidRDefault="001C7B5F" w:rsidP="00D65043">
      <w:pPr>
        <w:spacing w:after="0" w:line="240" w:lineRule="auto"/>
      </w:pPr>
      <w:r>
        <w:separator/>
      </w:r>
    </w:p>
  </w:footnote>
  <w:footnote w:type="continuationSeparator" w:id="0">
    <w:p w:rsidR="001C7B5F" w:rsidRDefault="001C7B5F" w:rsidP="00D6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14" w:rsidRPr="00D26914" w:rsidRDefault="00D26914" w:rsidP="00D26914">
    <w:pPr>
      <w:pStyle w:val="Intestazione"/>
    </w:pPr>
    <w:r w:rsidRPr="00D26914">
      <w:rPr>
        <w:noProof/>
      </w:rPr>
      <w:drawing>
        <wp:inline distT="0" distB="0" distL="0" distR="0">
          <wp:extent cx="6120130" cy="77883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7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5075"/>
    <w:multiLevelType w:val="multilevel"/>
    <w:tmpl w:val="DCCC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86A1B"/>
    <w:multiLevelType w:val="multilevel"/>
    <w:tmpl w:val="B8CAA5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5366C"/>
    <w:multiLevelType w:val="hybridMultilevel"/>
    <w:tmpl w:val="66E873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1A84"/>
    <w:multiLevelType w:val="multilevel"/>
    <w:tmpl w:val="E77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C4619"/>
    <w:multiLevelType w:val="multilevel"/>
    <w:tmpl w:val="BCB0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D1930"/>
    <w:multiLevelType w:val="multilevel"/>
    <w:tmpl w:val="1570B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052EE"/>
    <w:multiLevelType w:val="multilevel"/>
    <w:tmpl w:val="657CE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2932B9"/>
    <w:multiLevelType w:val="hybridMultilevel"/>
    <w:tmpl w:val="62C23E4A"/>
    <w:lvl w:ilvl="0" w:tplc="15187E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717D2"/>
    <w:multiLevelType w:val="multilevel"/>
    <w:tmpl w:val="32B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647DB"/>
    <w:multiLevelType w:val="multilevel"/>
    <w:tmpl w:val="C158D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F0D1E"/>
    <w:multiLevelType w:val="multilevel"/>
    <w:tmpl w:val="B3C2B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93831"/>
    <w:multiLevelType w:val="multilevel"/>
    <w:tmpl w:val="C0401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D2272"/>
    <w:multiLevelType w:val="multilevel"/>
    <w:tmpl w:val="4E2E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223DA"/>
    <w:multiLevelType w:val="multilevel"/>
    <w:tmpl w:val="5560B0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87E4B"/>
    <w:multiLevelType w:val="multilevel"/>
    <w:tmpl w:val="A660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D2836"/>
    <w:multiLevelType w:val="multilevel"/>
    <w:tmpl w:val="D772D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F6"/>
    <w:rsid w:val="00031894"/>
    <w:rsid w:val="000F1205"/>
    <w:rsid w:val="00120E25"/>
    <w:rsid w:val="00127A49"/>
    <w:rsid w:val="00153CF3"/>
    <w:rsid w:val="00154E43"/>
    <w:rsid w:val="001576D2"/>
    <w:rsid w:val="001710CC"/>
    <w:rsid w:val="0017744F"/>
    <w:rsid w:val="001C7B5F"/>
    <w:rsid w:val="00264694"/>
    <w:rsid w:val="003809C3"/>
    <w:rsid w:val="00404BDF"/>
    <w:rsid w:val="00422ADC"/>
    <w:rsid w:val="0046747E"/>
    <w:rsid w:val="0054326B"/>
    <w:rsid w:val="00642C71"/>
    <w:rsid w:val="00690537"/>
    <w:rsid w:val="006D50F3"/>
    <w:rsid w:val="0077554A"/>
    <w:rsid w:val="007819E4"/>
    <w:rsid w:val="008D0C5B"/>
    <w:rsid w:val="008E6B7C"/>
    <w:rsid w:val="008F35CB"/>
    <w:rsid w:val="008F6D91"/>
    <w:rsid w:val="00A949A9"/>
    <w:rsid w:val="00B32029"/>
    <w:rsid w:val="00B33329"/>
    <w:rsid w:val="00BB0807"/>
    <w:rsid w:val="00BB4307"/>
    <w:rsid w:val="00C030CC"/>
    <w:rsid w:val="00C043DA"/>
    <w:rsid w:val="00C64942"/>
    <w:rsid w:val="00D16900"/>
    <w:rsid w:val="00D26914"/>
    <w:rsid w:val="00D65043"/>
    <w:rsid w:val="00DC0DAF"/>
    <w:rsid w:val="00E104D0"/>
    <w:rsid w:val="00F33CF6"/>
    <w:rsid w:val="00F3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169F9-7FA5-4645-9E17-85B9031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33C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32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0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5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043"/>
  </w:style>
  <w:style w:type="paragraph" w:styleId="Pidipagina">
    <w:name w:val="footer"/>
    <w:basedOn w:val="Normale"/>
    <w:link w:val="PidipaginaCarattere"/>
    <w:uiPriority w:val="99"/>
    <w:unhideWhenUsed/>
    <w:rsid w:val="00D65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</dc:creator>
  <cp:lastModifiedBy>Utente</cp:lastModifiedBy>
  <cp:revision>2</cp:revision>
  <cp:lastPrinted>2019-12-11T10:57:00Z</cp:lastPrinted>
  <dcterms:created xsi:type="dcterms:W3CDTF">2019-12-11T13:55:00Z</dcterms:created>
  <dcterms:modified xsi:type="dcterms:W3CDTF">2019-12-11T13:55:00Z</dcterms:modified>
</cp:coreProperties>
</file>